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10A" w:rsidRPr="00086D24" w:rsidTr="00BF0B0E">
        <w:tc>
          <w:tcPr>
            <w:tcW w:w="14174" w:type="dxa"/>
            <w:shd w:val="clear" w:color="auto" w:fill="BDD6EE" w:themeFill="accent1" w:themeFillTint="66"/>
          </w:tcPr>
          <w:p w:rsidR="00B0510A" w:rsidRPr="00086D24" w:rsidRDefault="00B0510A" w:rsidP="00BF0B0E">
            <w:pPr>
              <w:spacing w:before="40" w:after="4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086D24">
              <w:rPr>
                <w:rFonts w:asciiTheme="minorBidi" w:hAnsiTheme="minorBidi"/>
                <w:b/>
                <w:bCs/>
                <w:sz w:val="28"/>
                <w:szCs w:val="28"/>
              </w:rPr>
              <w:t>Part 2 Medicines Management</w:t>
            </w:r>
          </w:p>
        </w:tc>
      </w:tr>
    </w:tbl>
    <w:p w:rsidR="00B0510A" w:rsidRPr="00086D24" w:rsidRDefault="00B0510A" w:rsidP="00B0510A">
      <w:pPr>
        <w:spacing w:before="40" w:after="40"/>
        <w:rPr>
          <w:sz w:val="16"/>
          <w:szCs w:val="16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 xml:space="preserve">This assessment must be completed by the end of Part 2 where the student safely administers medicines to a group of patients/service users or a caseload of patients/service users </w:t>
      </w: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During Part 2 the student should be developing their knowledge, skills and competencies in relation to the safe administration of medicines.  This assessment should normally be undertaken with a small group of patients/service users or caseload.</w:t>
      </w: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The student must be allowed a number of practice opportunities to administer medicines under supervision prior to this assessment.</w:t>
      </w: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b/>
          <w:bCs/>
          <w:sz w:val="21"/>
          <w:szCs w:val="21"/>
        </w:rPr>
      </w:pPr>
      <w:r w:rsidRPr="00086D24">
        <w:rPr>
          <w:b/>
          <w:bCs/>
          <w:sz w:val="21"/>
          <w:szCs w:val="21"/>
        </w:rPr>
        <w:t>The student must work within the legal and ethical frameworks that underpin safe and effective medicines management and work within national and local policies.</w:t>
      </w:r>
    </w:p>
    <w:p w:rsidR="00B0510A" w:rsidRPr="00086D24" w:rsidRDefault="00B0510A" w:rsidP="00B0510A">
      <w:pPr>
        <w:spacing w:before="40" w:after="40"/>
        <w:rPr>
          <w:b/>
          <w:bCs/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b/>
          <w:bCs/>
          <w:sz w:val="21"/>
          <w:szCs w:val="21"/>
        </w:rPr>
        <w:t xml:space="preserve">Regulatory requirements:  </w:t>
      </w:r>
      <w:r w:rsidRPr="00086D24">
        <w:rPr>
          <w:i/>
          <w:iCs/>
          <w:sz w:val="21"/>
          <w:szCs w:val="21"/>
        </w:rPr>
        <w:t xml:space="preserve">Future Nurse: Standards of Proficiency for Registered Nurses </w:t>
      </w:r>
      <w:r w:rsidRPr="00086D24">
        <w:rPr>
          <w:sz w:val="21"/>
          <w:szCs w:val="21"/>
        </w:rPr>
        <w:t xml:space="preserve">(NMC 2018), </w:t>
      </w:r>
      <w:r w:rsidRPr="00086D24">
        <w:rPr>
          <w:i/>
          <w:iCs/>
          <w:sz w:val="21"/>
          <w:szCs w:val="21"/>
        </w:rPr>
        <w:t>The Code</w:t>
      </w:r>
      <w:r w:rsidRPr="00086D24">
        <w:rPr>
          <w:sz w:val="21"/>
          <w:szCs w:val="21"/>
        </w:rPr>
        <w:t xml:space="preserve"> (</w:t>
      </w:r>
      <w:r>
        <w:rPr>
          <w:sz w:val="21"/>
          <w:szCs w:val="21"/>
        </w:rPr>
        <w:t>NMC 2018</w:t>
      </w:r>
      <w:r w:rsidRPr="00086D24">
        <w:rPr>
          <w:sz w:val="21"/>
          <w:szCs w:val="21"/>
        </w:rPr>
        <w:t xml:space="preserve">), </w:t>
      </w:r>
      <w:r w:rsidRPr="00086D24">
        <w:rPr>
          <w:i/>
          <w:iCs/>
          <w:sz w:val="21"/>
          <w:szCs w:val="21"/>
        </w:rPr>
        <w:t>A Competency Framework for all Prescribers</w:t>
      </w:r>
      <w:r w:rsidRPr="00086D24">
        <w:rPr>
          <w:sz w:val="21"/>
          <w:szCs w:val="21"/>
        </w:rPr>
        <w:t xml:space="preserve"> (The Royal Pharmaceutical Society 2016).</w:t>
      </w: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The aim of this assessment is to demonstrate the student's knowledge and competence in administering medications safely.</w:t>
      </w: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b/>
          <w:bCs/>
          <w:sz w:val="24"/>
          <w:szCs w:val="24"/>
        </w:rPr>
        <w:t>Learning Outcomes</w:t>
      </w:r>
      <w:r>
        <w:rPr>
          <w:sz w:val="21"/>
          <w:szCs w:val="21"/>
        </w:rPr>
        <w:t xml:space="preserve"> </w:t>
      </w:r>
    </w:p>
    <w:p w:rsidR="00B0510A" w:rsidRPr="00086D24" w:rsidRDefault="00B0510A" w:rsidP="00B0510A">
      <w:pPr>
        <w:spacing w:before="40" w:after="40"/>
        <w:rPr>
          <w:sz w:val="21"/>
          <w:szCs w:val="21"/>
        </w:rPr>
      </w:pPr>
      <w:r w:rsidRPr="00086D24">
        <w:rPr>
          <w:sz w:val="21"/>
          <w:szCs w:val="21"/>
        </w:rPr>
        <w:t>The student is able to:</w:t>
      </w:r>
    </w:p>
    <w:p w:rsidR="00B0510A" w:rsidRPr="00086D24" w:rsidRDefault="00B0510A" w:rsidP="00B0510A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Apply knowledge of pharmacology, how medicines act and interact in the systems of the body, and their therapeutic action.  </w:t>
      </w:r>
    </w:p>
    <w:p w:rsidR="00B0510A" w:rsidRPr="00086D24" w:rsidRDefault="00B0510A" w:rsidP="00B0510A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Carry out an initial and continued assessment of people receiving are and their ability to self-administer their own medicines.  </w:t>
      </w:r>
    </w:p>
    <w:p w:rsidR="00B0510A" w:rsidRPr="00086D24" w:rsidRDefault="00B0510A" w:rsidP="00B0510A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Prepare medications where necessary, safely and effectively administer these via common routes, maintains accurate records and is aware of the laws, policies, regulations and guidance which underpin medicine management.  </w:t>
      </w:r>
    </w:p>
    <w:p w:rsidR="00B0510A" w:rsidRPr="00086D24" w:rsidRDefault="00B0510A" w:rsidP="00B0510A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Safely and accurately perform medicines calculatio</w:t>
      </w:r>
      <w:r>
        <w:rPr>
          <w:sz w:val="21"/>
          <w:szCs w:val="21"/>
        </w:rPr>
        <w:t xml:space="preserve">ns for a range of medications. </w:t>
      </w:r>
    </w:p>
    <w:p w:rsidR="00B0510A" w:rsidRPr="00086D24" w:rsidRDefault="00B0510A" w:rsidP="00B0510A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 xml:space="preserve">Co-ordinate the process and procedures involved in managing the safe discharge, move or transfer between care settings of the person.  </w:t>
      </w:r>
    </w:p>
    <w:p w:rsidR="00B0510A" w:rsidRPr="00086D24" w:rsidRDefault="00B0510A" w:rsidP="00B0510A">
      <w:pPr>
        <w:pStyle w:val="ListParagraph"/>
        <w:numPr>
          <w:ilvl w:val="0"/>
          <w:numId w:val="1"/>
        </w:numPr>
        <w:spacing w:before="40" w:after="40"/>
        <w:ind w:left="567" w:hanging="567"/>
        <w:rPr>
          <w:sz w:val="21"/>
          <w:szCs w:val="21"/>
        </w:rPr>
      </w:pPr>
      <w:r w:rsidRPr="00086D24">
        <w:rPr>
          <w:sz w:val="21"/>
          <w:szCs w:val="21"/>
        </w:rPr>
        <w:t>Maintain safety and safeguard the patient from harm, including non-adherence, demonstrating understanding of the Mental Capacity Act (DH 2005) and the Mental Health Act (DH 1983, am</w:t>
      </w:r>
      <w:r>
        <w:rPr>
          <w:sz w:val="21"/>
          <w:szCs w:val="21"/>
        </w:rPr>
        <w:t xml:space="preserve">ended 2007) where appropriate. </w:t>
      </w:r>
    </w:p>
    <w:p w:rsidR="00B0510A" w:rsidRPr="00086D24" w:rsidRDefault="00B0510A" w:rsidP="00B0510A">
      <w:pPr>
        <w:spacing w:before="40" w:after="40"/>
        <w:jc w:val="both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jc w:val="both"/>
        <w:rPr>
          <w:sz w:val="21"/>
          <w:szCs w:val="21"/>
        </w:rPr>
      </w:pPr>
    </w:p>
    <w:p w:rsidR="00B0510A" w:rsidRPr="00086D24" w:rsidRDefault="00B0510A" w:rsidP="00B0510A">
      <w:pPr>
        <w:spacing w:before="40" w:after="40"/>
        <w:jc w:val="both"/>
        <w:rPr>
          <w:sz w:val="21"/>
          <w:szCs w:val="21"/>
        </w:rPr>
        <w:sectPr w:rsidR="00B0510A" w:rsidRPr="00086D24" w:rsidSect="0070463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10A" w:rsidRPr="00086D24" w:rsidTr="00BF0B0E">
        <w:tc>
          <w:tcPr>
            <w:tcW w:w="14174" w:type="dxa"/>
            <w:shd w:val="clear" w:color="auto" w:fill="BDD6EE" w:themeFill="accent1" w:themeFillTint="66"/>
          </w:tcPr>
          <w:p w:rsidR="00B0510A" w:rsidRPr="00086D24" w:rsidRDefault="00B0510A" w:rsidP="00BF0B0E">
            <w:pPr>
              <w:spacing w:before="120" w:after="120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086D2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Part 2 Medicines Management</w:t>
            </w:r>
          </w:p>
        </w:tc>
      </w:tr>
    </w:tbl>
    <w:p w:rsidR="00B0510A" w:rsidRPr="00086D24" w:rsidRDefault="00B0510A" w:rsidP="00B0510A">
      <w:pPr>
        <w:spacing w:before="40" w:after="4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8"/>
        <w:gridCol w:w="1048"/>
      </w:tblGrid>
      <w:tr w:rsidR="00B0510A" w:rsidRPr="00086D24" w:rsidTr="00BF0B0E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B0510A" w:rsidRPr="00086D24" w:rsidRDefault="00B0510A" w:rsidP="00BF0B0E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086D24">
              <w:rPr>
                <w:rFonts w:asciiTheme="minorBidi" w:hAnsiTheme="minorBidi"/>
                <w:sz w:val="16"/>
                <w:szCs w:val="16"/>
              </w:rPr>
              <w:t>YES = Achieved; NO = Not Achieved</w:t>
            </w:r>
          </w:p>
        </w:tc>
      </w:tr>
      <w:tr w:rsidR="00B0510A" w:rsidRPr="00086D24" w:rsidTr="00BF0B0E">
        <w:tc>
          <w:tcPr>
            <w:tcW w:w="8188" w:type="dxa"/>
            <w:shd w:val="clear" w:color="auto" w:fill="BDD6EE" w:themeFill="accent1" w:themeFillTint="66"/>
          </w:tcPr>
          <w:p w:rsidR="00B0510A" w:rsidRPr="00086D24" w:rsidRDefault="00B0510A" w:rsidP="00BF0B0E">
            <w:pPr>
              <w:spacing w:before="40" w:after="40"/>
              <w:jc w:val="both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Competency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B0510A" w:rsidRPr="00086D24" w:rsidRDefault="00B0510A" w:rsidP="00BF0B0E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086D24">
              <w:rPr>
                <w:b/>
                <w:bCs/>
                <w:sz w:val="21"/>
                <w:szCs w:val="21"/>
              </w:rPr>
              <w:t>Yes/No</w:t>
            </w: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Is aware of the patient/service user's plan of care and the reason for medication demonstrating knowledge of pharmacology for commonly prescribed medicines within the practice area.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Communicates appropriately with the patient/service user.  Provides clear and accurate information and checks understanding.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Understands safe storage of medications in the care environment.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Maintains effective hygiene/infection control throughout.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Checks prescriptions thoroughly: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Right patient/service user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Right medication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Right time/date/valid period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Right dose/last dose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Right route/method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3"/>
              </w:numPr>
              <w:spacing w:before="40" w:after="40"/>
              <w:ind w:hanging="295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Special instructions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Checks for allergies demonstrating an understanding of the risks and managing these as appropriate: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4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Asks patient/service user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4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Checks prescription chart or identification band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Prepares medications safely.  Checks expiry date.  Notes any special instructions/contraindications.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Calculates doses accurately and safely: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5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Demonstrates to assessor the component parts of the calculation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5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Minimum of three calculations undertaken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Checks and confirms the patient/service user's identity and establishes consent.  (ID band or other confirmation if in own home).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Administers or supervises self-administration safely under direct supervision.  Verifies that oral medication has been swallowed.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Describes/demonstrates the procedure in the event of reduced capacity and non-adherence.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Safely utilises and disposes of equipment.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Maintains accurate records:</w:t>
            </w:r>
          </w:p>
          <w:p w:rsidR="00B0510A" w:rsidRPr="00086D24" w:rsidRDefault="00B0510A" w:rsidP="00B0510A">
            <w:pPr>
              <w:pStyle w:val="ListParagraph"/>
              <w:numPr>
                <w:ilvl w:val="0"/>
                <w:numId w:val="6"/>
              </w:numPr>
              <w:spacing w:before="40" w:after="40"/>
              <w:ind w:hanging="294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Records, signs and dates where safely administered.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Monitors effects and is aware of common side effects and how these are managed.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Uses appropriate sources of information, e.g. British National Formulary.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0510A" w:rsidRPr="00086D24" w:rsidTr="00BF0B0E">
        <w:tc>
          <w:tcPr>
            <w:tcW w:w="8188" w:type="dxa"/>
          </w:tcPr>
          <w:p w:rsidR="00B0510A" w:rsidRPr="00086D24" w:rsidRDefault="00B0510A" w:rsidP="00B0510A">
            <w:pPr>
              <w:pStyle w:val="ListParagraph"/>
              <w:numPr>
                <w:ilvl w:val="0"/>
                <w:numId w:val="2"/>
              </w:numPr>
              <w:spacing w:before="40" w:after="40"/>
              <w:ind w:left="426" w:hanging="426"/>
              <w:jc w:val="both"/>
              <w:rPr>
                <w:sz w:val="21"/>
                <w:szCs w:val="21"/>
              </w:rPr>
            </w:pPr>
            <w:r w:rsidRPr="00086D24">
              <w:rPr>
                <w:sz w:val="21"/>
                <w:szCs w:val="21"/>
              </w:rPr>
              <w:t>Offers patient/service user further support/advice/education, including discharge/ safe transfer where appropriate.</w:t>
            </w:r>
          </w:p>
        </w:tc>
        <w:tc>
          <w:tcPr>
            <w:tcW w:w="1054" w:type="dxa"/>
          </w:tcPr>
          <w:p w:rsidR="00B0510A" w:rsidRPr="00086D24" w:rsidRDefault="00B0510A" w:rsidP="00BF0B0E">
            <w:pPr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B0510A" w:rsidRPr="00086D24" w:rsidRDefault="00B0510A" w:rsidP="00B0510A">
      <w:pPr>
        <w:sectPr w:rsidR="00B0510A" w:rsidRPr="00086D24" w:rsidSect="00704630"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tbl>
      <w:tblPr>
        <w:tblStyle w:val="TableGrid7"/>
        <w:tblW w:w="9163" w:type="dxa"/>
        <w:tblLook w:val="04A0" w:firstRow="1" w:lastRow="0" w:firstColumn="1" w:lastColumn="0" w:noHBand="0" w:noVBand="1"/>
      </w:tblPr>
      <w:tblGrid>
        <w:gridCol w:w="3765"/>
        <w:gridCol w:w="3788"/>
        <w:gridCol w:w="1610"/>
      </w:tblGrid>
      <w:tr w:rsidR="00B0510A" w:rsidTr="00BF0B0E">
        <w:trPr>
          <w:trHeight w:val="498"/>
        </w:trPr>
        <w:tc>
          <w:tcPr>
            <w:tcW w:w="9163" w:type="dxa"/>
            <w:gridSpan w:val="3"/>
            <w:shd w:val="clear" w:color="auto" w:fill="BDD6EE" w:themeFill="accent1" w:themeFillTint="66"/>
          </w:tcPr>
          <w:p w:rsidR="00B0510A" w:rsidRPr="00BD76FC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Practice Assessor</w:t>
            </w:r>
            <w:r w:rsidRPr="00BD76FC">
              <w:rPr>
                <w:b/>
                <w:bCs/>
                <w:sz w:val="21"/>
                <w:szCs w:val="21"/>
              </w:rPr>
              <w:t>'s Feedback</w:t>
            </w:r>
          </w:p>
        </w:tc>
      </w:tr>
      <w:tr w:rsidR="00B0510A" w:rsidRPr="001E6089" w:rsidTr="00BF0B0E">
        <w:trPr>
          <w:trHeight w:val="4891"/>
        </w:trPr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Pr="001E6089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B0510A" w:rsidRPr="001E6089" w:rsidTr="00BF0B0E">
        <w:trPr>
          <w:trHeight w:val="498"/>
        </w:trPr>
        <w:tc>
          <w:tcPr>
            <w:tcW w:w="9163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0510A" w:rsidRPr="001E6089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Student Reflection on Learning and Development</w:t>
            </w:r>
          </w:p>
        </w:tc>
      </w:tr>
      <w:tr w:rsidR="00B0510A" w:rsidRPr="001E6089" w:rsidTr="00BF0B0E">
        <w:trPr>
          <w:trHeight w:val="4891"/>
        </w:trPr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Pr="001E6089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</w:tr>
      <w:tr w:rsidR="00B0510A" w:rsidRPr="001E6089" w:rsidTr="00BF0B0E">
        <w:trPr>
          <w:trHeight w:val="2272"/>
        </w:trPr>
        <w:tc>
          <w:tcPr>
            <w:tcW w:w="3765" w:type="dxa"/>
            <w:tcBorders>
              <w:bottom w:val="single" w:sz="4" w:space="0" w:color="auto"/>
              <w:right w:val="nil"/>
            </w:tcBorders>
          </w:tcPr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Student's Name:</w:t>
            </w:r>
            <w:r>
              <w:rPr>
                <w:b/>
                <w:bCs/>
                <w:sz w:val="21"/>
                <w:szCs w:val="21"/>
              </w:rPr>
              <w:tab/>
            </w:r>
          </w:p>
          <w:p w:rsidR="00B0510A" w:rsidRDefault="00B0510A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Practice Assessor's Name:</w:t>
            </w:r>
          </w:p>
          <w:p w:rsidR="00B0510A" w:rsidRPr="001E6089" w:rsidRDefault="00B0510A" w:rsidP="00BF0B0E">
            <w:pPr>
              <w:tabs>
                <w:tab w:val="center" w:pos="2781"/>
              </w:tabs>
              <w:spacing w:before="40" w:after="4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8" w:type="dxa"/>
            <w:tcBorders>
              <w:left w:val="nil"/>
              <w:bottom w:val="single" w:sz="4" w:space="0" w:color="auto"/>
              <w:right w:val="nil"/>
            </w:tcBorders>
          </w:tcPr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Signature:</w:t>
            </w: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Pr="001E6089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Signature: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</w:tcBorders>
          </w:tcPr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14EC4FB6">
              <w:rPr>
                <w:b/>
                <w:bCs/>
                <w:sz w:val="21"/>
                <w:szCs w:val="21"/>
              </w:rPr>
              <w:t>Date :</w:t>
            </w:r>
          </w:p>
          <w:p w:rsidR="00B0510A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:rsidR="00B0510A" w:rsidRPr="001E6089" w:rsidRDefault="00B0510A" w:rsidP="00BF0B0E">
            <w:pPr>
              <w:spacing w:before="40" w:after="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 :</w:t>
            </w:r>
          </w:p>
        </w:tc>
      </w:tr>
    </w:tbl>
    <w:p w:rsidR="00D66BEC" w:rsidRDefault="00B0510A">
      <w:bookmarkStart w:id="0" w:name="_GoBack"/>
      <w:bookmarkEnd w:id="0"/>
    </w:p>
    <w:sectPr w:rsidR="00D6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7143"/>
    <w:multiLevelType w:val="hybridMultilevel"/>
    <w:tmpl w:val="C372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59FF"/>
    <w:multiLevelType w:val="hybridMultilevel"/>
    <w:tmpl w:val="AA40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9CE"/>
    <w:multiLevelType w:val="hybridMultilevel"/>
    <w:tmpl w:val="B5B697EA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2D9"/>
    <w:multiLevelType w:val="hybridMultilevel"/>
    <w:tmpl w:val="A3E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41D"/>
    <w:multiLevelType w:val="hybridMultilevel"/>
    <w:tmpl w:val="F116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6921"/>
    <w:multiLevelType w:val="hybridMultilevel"/>
    <w:tmpl w:val="7690FC0E"/>
    <w:lvl w:ilvl="0" w:tplc="F4CA8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A"/>
    <w:rsid w:val="0045149F"/>
    <w:rsid w:val="00AE6B85"/>
    <w:rsid w:val="00B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55EA2-039A-4E41-B324-E0F1E0B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1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510A"/>
    <w:pPr>
      <w:ind w:left="959" w:hanging="360"/>
    </w:pPr>
  </w:style>
  <w:style w:type="table" w:styleId="TableGrid">
    <w:name w:val="Table Grid"/>
    <w:basedOn w:val="TableNormal"/>
    <w:uiPriority w:val="59"/>
    <w:rsid w:val="00B0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0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1</cp:revision>
  <dcterms:created xsi:type="dcterms:W3CDTF">2020-10-28T09:38:00Z</dcterms:created>
  <dcterms:modified xsi:type="dcterms:W3CDTF">2020-10-28T09:41:00Z</dcterms:modified>
</cp:coreProperties>
</file>